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6.png" ContentType="image/png"/>
  <Override PartName="/word/media/rId37.png" ContentType="image/png"/>
  <Override PartName="/word/media/rId38.png" ContentType="image/png"/>
  <Override PartName="/word/media/rId39.png" ContentType="image/png"/>
  <Override PartName="/word/media/rId27.png" ContentType="image/png"/>
  <Override PartName="/word/media/rId28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5.png" ContentType="image/png"/>
  <Override PartName="/word/media/rId3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Theory Introduction to PC decomposition.</w:t>
      </w:r>
    </w:p>
    <w:p>
      <w:pPr>
        <w:pStyle w:val="Compact"/>
        <w:numPr>
          <w:numId w:val="1001"/>
          <w:ilvl w:val="0"/>
        </w:numPr>
      </w:pPr>
      <w:hyperlink r:id="rId20">
        <w:r>
          <w:rPr>
            <w:rStyle w:val="Hyperlink"/>
          </w:rPr>
          <w:t xml:space="preserve">Help chapter 1</w:t>
        </w:r>
      </w:hyperlink>
    </w:p>
    <w:p>
      <w:pPr>
        <w:pStyle w:val="Compact"/>
        <w:numPr>
          <w:numId w:val="1001"/>
          <w:ilvl w:val="0"/>
        </w:numPr>
      </w:pPr>
      <w:hyperlink r:id="rId21">
        <w:r>
          <w:rPr>
            <w:rStyle w:val="Hyperlink"/>
          </w:rPr>
          <w:t xml:space="preserve">Tutorials</w:t>
        </w:r>
      </w:hyperlink>
    </w:p>
    <w:p>
      <w:pPr>
        <w:pStyle w:val="Compact"/>
        <w:numPr>
          <w:numId w:val="1001"/>
          <w:ilvl w:val="0"/>
        </w:numPr>
      </w:pPr>
      <w:hyperlink r:id="rId22">
        <w:r>
          <w:rPr>
            <w:rStyle w:val="Hyperlink"/>
          </w:rPr>
          <w:t xml:space="preserve">Theory</w:t>
        </w:r>
      </w:hyperlink>
    </w:p>
    <w:p>
      <w:pPr>
        <w:pStyle w:val="Compact"/>
        <w:numPr>
          <w:numId w:val="1001"/>
          <w:ilvl w:val="0"/>
        </w:numPr>
      </w:pPr>
      <w:hyperlink r:id="rId23">
        <w:r>
          <w:rPr>
            <w:rStyle w:val="Hyperlink"/>
          </w:rPr>
          <w:t xml:space="preserve">Sampling Tutorial</w:t>
        </w:r>
      </w:hyperlink>
    </w:p>
    <w:p>
      <w:pPr>
        <w:pStyle w:val="Compact"/>
      </w:pPr>
      <w:r>
        <w:t xml:space="preserve"> </w:t>
      </w:r>
      <w:hyperlink r:id="rId23">
        <w:r>
          <w:rPr>
            <w:rStyle w:val="Hyperlink"/>
          </w:rPr>
          <w:t xml:space="preserve">Sampling Tutorial &gt;&gt;</w:t>
        </w:r>
      </w:hyperlink>
      <w:r>
        <w:t xml:space="preserve"> </w:t>
      </w:r>
      <w:r>
        <w:t xml:space="preserve"> </w:t>
      </w:r>
      <w:r>
        <w:t xml:space="preserve"> </w:t>
      </w:r>
      <w:hyperlink r:id="rId21">
        <w:r>
          <w:rPr>
            <w:rStyle w:val="Hyperlink"/>
          </w:rPr>
          <w:t xml:space="preserve">&lt;&lt; Tutorials</w:t>
        </w:r>
      </w:hyperlink>
      <w:r>
        <w:t xml:space="preserve"> </w:t>
      </w:r>
    </w:p>
    <w:p>
      <w:r>
        <w:pict>
          <v:rect style="width:0;height:1.5pt" o:hralign="center" o:hrstd="t" o:hr="t"/>
        </w:pict>
      </w:r>
    </w:p>
    <w:p>
      <w:pPr>
        <w:pStyle w:val="Heading1"/>
      </w:pPr>
      <w:bookmarkStart w:id="24" w:name="theory"/>
      <w:r>
        <w:t xml:space="preserve">Theory</w:t>
      </w:r>
      <w:bookmarkEnd w:id="24"/>
    </w:p>
    <w:p>
      <w:pPr>
        <w:pStyle w:val="FirstParagraph"/>
      </w:pPr>
      <w:r>
        <w:t xml:space="preserve">Introduction to PC decomposition.</w:t>
      </w:r>
    </w:p>
    <w:p>
      <w:pPr>
        <w:pStyle w:val="Heading3"/>
      </w:pPr>
      <w:bookmarkStart w:id="25" w:name="the-pc-decomposition"/>
      <w:r>
        <w:t xml:space="preserve">The PC decomposition</w:t>
      </w:r>
      <w:bookmarkEnd w:id="25"/>
    </w:p>
    <w:p>
      <w:pPr>
        <w:pStyle w:val="FirstParagraph"/>
      </w:pPr>
      <w:r>
        <w:t xml:space="preserve">Assume that X is a multivariate random variable, with probability</w:t>
      </w:r>
      <w:r>
        <w:t xml:space="preserve"> </w:t>
      </w:r>
      <w:r>
        <w:t xml:space="preserve">distribution function f.</w:t>
      </w:r>
      <w:r>
        <w:t xml:space="preserve"> </w:t>
      </w:r>
      <w:r>
        <w:t xml:space="preserve">Consider the nonlinear function Y=g(X), where</w:t>
      </w:r>
      <w:r>
        <w:t xml:space="preserve"> </w:t>
      </w:r>
      <w:r>
        <w:t xml:space="preserve">g is a square integrable nonlinear function.</w:t>
      </w:r>
    </w:p>
    <w:p>
      <w:pPr>
        <w:pStyle w:val="BodyText"/>
      </w:pPr>
      <w:r>
        <w:t xml:space="preserve">The polynomial chaos decomposition of g is</w:t>
      </w:r>
    </w:p>
    <w:p>
      <w:pPr>
        <w:pStyle w:val="BodyText"/>
      </w:pPr>
      <w:r>
        <w:drawing>
          <wp:inline>
            <wp:extent cx="2019300" cy="317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_LaTeX_0-theory.xml_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where P is the number of multivariate chaos polynomials</w:t>
      </w:r>
      <w:r>
        <w:t xml:space="preserve"> </w:t>
      </w:r>
      <w:r>
        <w:t xml:space="preserve">and</w:t>
      </w:r>
      <w:r>
        <w:t xml:space="preserve"> </w:t>
      </w:r>
      <w:r>
        <w:drawing>
          <wp:inline>
            <wp:extent cx="292100" cy="228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_LaTeX_0-theory.xml_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is the k-th multivariate chaos polynomial.</w:t>
      </w:r>
      <w:r>
        <w:t xml:space="preserve"> </w:t>
      </w:r>
      <w:r>
        <w:t xml:space="preserve">These multivariate polynomials are constructed from tensorisation of univariate</w:t>
      </w:r>
      <w:r>
        <w:t xml:space="preserve"> </w:t>
      </w:r>
      <w:r>
        <w:t xml:space="preserve">orthogonal polynomials.</w:t>
      </w:r>
    </w:p>
    <w:p>
      <w:pPr>
        <w:pStyle w:val="BodyText"/>
      </w:pPr>
      <w:r>
        <w:t xml:space="preserve">The coefficients of the PC decomposition satisfy the equation:</w:t>
      </w:r>
    </w:p>
    <w:p>
      <w:pPr>
        <w:pStyle w:val="BodyText"/>
      </w:pPr>
      <w:r>
        <w:drawing>
          <wp:inline>
            <wp:extent cx="1727200" cy="4064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_LaTeX_0-theory.xml_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denominator of the previous equation can be computed in advance,</w:t>
      </w:r>
      <w:r>
        <w:t xml:space="preserve"> </w:t>
      </w:r>
      <w:r>
        <w:t xml:space="preserve">since the associated integrals only depend on the chaos polynomials,</w:t>
      </w:r>
      <w:r>
        <w:t xml:space="preserve"> </w:t>
      </w:r>
      <w:r>
        <w:t xml:space="preserve">which have known integrals.</w:t>
      </w:r>
      <w:r>
        <w:t xml:space="preserve"> </w:t>
      </w:r>
      <w:r>
        <w:t xml:space="preserve">Therefore, only the numerator has to be computed.</w:t>
      </w:r>
      <w:r>
        <w:t xml:space="preserve"> </w:t>
      </w:r>
      <w:r>
        <w:t xml:space="preserve">There are two different methods to do this: integration or regression.</w:t>
      </w:r>
    </w:p>
    <w:p>
      <w:pPr>
        <w:pStyle w:val="Heading3"/>
      </w:pPr>
      <w:bookmarkStart w:id="29" w:name="orhogonal-polynomials"/>
      <w:r>
        <w:t xml:space="preserve">Orhogonal polynomials</w:t>
      </w:r>
      <w:bookmarkEnd w:id="29"/>
    </w:p>
    <w:p>
      <w:pPr>
        <w:pStyle w:val="FirstParagraph"/>
      </w:pPr>
      <w:r>
        <w:t xml:space="preserve">In this section, we present the orthogonal polynomials which are used</w:t>
      </w:r>
      <w:r>
        <w:t xml:space="preserve"> </w:t>
      </w:r>
      <w:r>
        <w:t xml:space="preserve">to create the model.</w:t>
      </w:r>
      <w:r>
        <w:t xml:space="preserve"> </w:t>
      </w:r>
      <w:r>
        <w:t xml:space="preserve">For each distribution associated to the random variable, we</w:t>
      </w:r>
      <w:r>
        <w:t xml:space="preserve"> </w:t>
      </w:r>
      <w:r>
        <w:t xml:space="preserve">use a different type of orthogonal polynomial.</w:t>
      </w:r>
      <w:r>
        <w:t xml:space="preserve"> </w:t>
      </w:r>
      <w:r>
        <w:t xml:space="preserve">The chosen family of polynomials has the property that they are</w:t>
      </w:r>
      <w:r>
        <w:t xml:space="preserve"> </w:t>
      </w:r>
      <w:r>
        <w:t xml:space="preserve">orthogonal with respect to the weight associated with the probability</w:t>
      </w:r>
      <w:r>
        <w:t xml:space="preserve"> </w:t>
      </w:r>
      <w:r>
        <w:t xml:space="preserve">distribution function of the variable.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"Uniforme"</w:t>
            </w:r>
          </w:p>
        </w:tc>
        <w:tc>
          <w:p>
            <w:pPr>
              <w:pStyle w:val="Compact"/>
              <w:jc w:val="left"/>
            </w:pPr>
            <w:r>
              <w:t xml:space="preserve">Legendre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"LogUniforme"</w:t>
            </w:r>
          </w:p>
        </w:tc>
        <w:tc>
          <w:p>
            <w:pPr>
              <w:pStyle w:val="Compact"/>
              <w:jc w:val="left"/>
            </w:pPr>
            <w:r>
              <w:t xml:space="preserve">Legendre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"Normale"</w:t>
            </w:r>
          </w:p>
        </w:tc>
        <w:tc>
          <w:p>
            <w:pPr>
              <w:pStyle w:val="Compact"/>
              <w:jc w:val="left"/>
            </w:pPr>
            <w:r>
              <w:t xml:space="preserve">Hermite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"LogNormale"</w:t>
            </w:r>
          </w:p>
        </w:tc>
        <w:tc>
          <w:p>
            <w:pPr>
              <w:pStyle w:val="Compact"/>
              <w:jc w:val="left"/>
            </w:pPr>
            <w:r>
              <w:t xml:space="preserve">Hermite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"Exponentielle"</w:t>
            </w:r>
          </w:p>
        </w:tc>
        <w:tc>
          <w:p>
            <w:pPr>
              <w:pStyle w:val="Compact"/>
              <w:jc w:val="left"/>
            </w:pPr>
            <w:r>
              <w:t xml:space="preserve">Laguerre</w:t>
            </w:r>
          </w:p>
        </w:tc>
      </w:tr>
    </w:tbl>
    <w:p>
      <w:pPr>
        <w:pStyle w:val="BodyText"/>
      </w:pPr>
      <w:r>
        <w:t xml:space="preserve">Let us denote by</w:t>
      </w:r>
      <w:r>
        <w:t xml:space="preserve"> </w:t>
      </w:r>
      <w:r>
        <w:drawing>
          <wp:inline>
            <wp:extent cx="749300" cy="254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_LaTeX_0-theory.xml_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 family of</w:t>
      </w:r>
      <w:r>
        <w:t xml:space="preserve"> </w:t>
      </w:r>
      <w:r>
        <w:t xml:space="preserve">univariate orthogonal polynomials.</w:t>
      </w:r>
      <w:r>
        <w:t xml:space="preserve"> </w:t>
      </w:r>
      <w:r>
        <w:t xml:space="preserve">The associated multivariate chaos polynomial is</w:t>
      </w:r>
    </w:p>
    <w:p>
      <w:pPr>
        <w:pStyle w:val="BodyText"/>
      </w:pPr>
      <w:r>
        <w:drawing>
          <wp:inline>
            <wp:extent cx="2082800" cy="342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_LaTeX_0-theory.xml_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where</w:t>
      </w:r>
      <w:r>
        <w:t xml:space="preserve"> </w:t>
      </w:r>
      <w:r>
        <w:drawing>
          <wp:inline>
            <wp:extent cx="381000" cy="330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_LaTeX_0-theory.xml_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is the i-th multi-indice</w:t>
      </w:r>
      <w:r>
        <w:t xml:space="preserve"> </w:t>
      </w:r>
      <w:r>
        <w:t xml:space="preserve">associated with the polynomial</w:t>
      </w:r>
      <w:r>
        <w:t xml:space="preserve"> </w:t>
      </w:r>
      <w:r>
        <w:drawing>
          <wp:inline>
            <wp:extent cx="292100" cy="228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_LaTeX_0-theory.xml_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</w:t>
      </w:r>
    </w:p>
    <w:p>
      <w:pPr>
        <w:pStyle w:val="Heading3"/>
      </w:pPr>
      <w:bookmarkStart w:id="34" w:name="integration-and-regression"/>
      <w:r>
        <w:t xml:space="preserve">Integration and regression</w:t>
      </w:r>
      <w:bookmarkEnd w:id="34"/>
    </w:p>
    <w:p>
      <w:pPr>
        <w:pStyle w:val="FirstParagraph"/>
      </w:pPr>
      <w:r>
        <w:t xml:space="preserve">The two methods to compute the PC decomposition in this toolbox are integration,</w:t>
      </w:r>
      <w:r>
        <w:t xml:space="preserve"> </w:t>
      </w:r>
      <w:r>
        <w:t xml:space="preserve">based on quadrature multidimensionnal rules, and regression, based on the</w:t>
      </w:r>
      <w:r>
        <w:t xml:space="preserve"> </w:t>
      </w:r>
      <w:r>
        <w:t xml:space="preserve">solution of a linear least squares problem.</w:t>
      </w:r>
    </w:p>
    <w:p>
      <w:pPr>
        <w:pStyle w:val="BodyText"/>
      </w:pPr>
      <w:r>
        <w:t xml:space="preserve">The integration method uses a multidimensionnal quadrature based on the</w:t>
      </w:r>
      <w:r>
        <w:t xml:space="preserve"> </w:t>
      </w:r>
      <w:r>
        <w:t xml:space="preserve">formula</w:t>
      </w:r>
    </w:p>
    <w:p>
      <w:pPr>
        <w:pStyle w:val="BodyText"/>
      </w:pPr>
      <w:r>
        <w:drawing>
          <wp:inline>
            <wp:extent cx="4140200" cy="292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_LaTeX_0-theory.xml_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where n is the number of integration points,</w:t>
      </w:r>
      <w:r>
        <w:t xml:space="preserve"> </w:t>
      </w:r>
      <w:r>
        <w:drawing>
          <wp:inline>
            <wp:extent cx="228600" cy="1778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_LaTeX_0-theory.xml_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are the integration weights and</w:t>
      </w:r>
      <w:r>
        <w:t xml:space="preserve"> </w:t>
      </w:r>
      <w:r>
        <w:drawing>
          <wp:inline>
            <wp:extent cx="215900" cy="1778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_LaTeX_0-theory.xml_1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are the integration points.</w:t>
      </w:r>
    </w:p>
    <w:p>
      <w:pPr>
        <w:pStyle w:val="BodyText"/>
      </w:pPr>
      <w:r>
        <w:t xml:space="preserve">An integration rule, such as the</w:t>
      </w:r>
      <w:r>
        <w:t xml:space="preserve"> </w:t>
      </w:r>
      <w:r>
        <w:rPr>
          <w:rStyle w:val="VerbatimChar"/>
        </w:rPr>
        <w:t xml:space="preserve">"Quadrature"</w:t>
      </w:r>
      <w:r>
        <w:t xml:space="preserve"> </w:t>
      </w:r>
      <w:r>
        <w:t xml:space="preserve">sampling, for example, defines the number of integration points, the weights and</w:t>
      </w:r>
      <w:r>
        <w:t xml:space="preserve"> </w:t>
      </w:r>
      <w:r>
        <w:t xml:space="preserve">the integration points.</w:t>
      </w:r>
    </w:p>
    <w:p>
      <w:pPr>
        <w:pStyle w:val="BodyText"/>
      </w:pPr>
      <w:r>
        <w:t xml:space="preserve">In the regression method, the coefficients of the PC decomposition are</w:t>
      </w:r>
      <w:r>
        <w:t xml:space="preserve"> </w:t>
      </w:r>
      <w:r>
        <w:t xml:space="preserve">computed by solving a linear least squares problem.</w:t>
      </w:r>
      <w:r>
        <w:t xml:space="preserve"> </w:t>
      </w:r>
      <w:r>
        <w:t xml:space="preserve">The coefficients</w:t>
      </w:r>
      <w:r>
        <w:t xml:space="preserve"> </w:t>
      </w:r>
      <w:r>
        <w:drawing>
          <wp:inline>
            <wp:extent cx="241300" cy="1778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_LaTeX_0-theory.xml_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minimize</w:t>
      </w:r>
    </w:p>
    <w:p>
      <w:pPr>
        <w:pStyle w:val="BodyText"/>
      </w:pPr>
      <w:r>
        <w:drawing>
          <wp:inline>
            <wp:extent cx="2286000" cy="317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_LaTeX_0-theory.xml_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Hence, the type of sampling used to create the polynomial chaos decomposition</w:t>
      </w:r>
      <w:r>
        <w:t xml:space="preserve"> </w:t>
      </w:r>
      <w:r>
        <w:t xml:space="preserve">must be consistent with the method used to compute the</w:t>
      </w:r>
      <w:r>
        <w:t xml:space="preserve"> </w:t>
      </w:r>
      <w:r>
        <w:t xml:space="preserve">coefficients of the decomposition.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name</w:t>
      </w:r>
      <w:r>
        <w:t xml:space="preserve"> </w:t>
      </w:r>
      <w:r>
        <w:t xml:space="preserve">argument of the</w:t>
      </w:r>
      <w:r>
        <w:t xml:space="preserve"> </w:t>
      </w:r>
      <w:r>
        <w:rPr>
          <w:rStyle w:val="VerbatimChar"/>
        </w:rPr>
        <w:t xml:space="preserve">setrandvar_buildsample</w:t>
      </w:r>
      <w:r>
        <w:t xml:space="preserve"> </w:t>
      </w:r>
      <w:r>
        <w:t xml:space="preserve">function</w:t>
      </w:r>
      <w:r>
        <w:t xml:space="preserve"> </w:t>
      </w:r>
      <w:r>
        <w:t xml:space="preserve">must be consistent with the</w:t>
      </w:r>
      <w:r>
        <w:t xml:space="preserve"> </w:t>
      </w:r>
      <w:r>
        <w:rPr>
          <w:rStyle w:val="VerbatimChar"/>
        </w:rPr>
        <w:t xml:space="preserve">method</w:t>
      </w:r>
      <w:r>
        <w:t xml:space="preserve"> </w:t>
      </w:r>
      <w:r>
        <w:t xml:space="preserve">argument of the</w:t>
      </w:r>
      <w:r>
        <w:t xml:space="preserve"> </w:t>
      </w:r>
      <w:r>
        <w:rPr>
          <w:rStyle w:val="VerbatimChar"/>
        </w:rPr>
        <w:t xml:space="preserve">polychaos_computeexp</w:t>
      </w:r>
      <w:r>
        <w:t xml:space="preserve"> </w:t>
      </w:r>
      <w:r>
        <w:t xml:space="preserve">function.</w:t>
      </w:r>
      <w:r>
        <w:t xml:space="preserve"> </w:t>
      </w:r>
      <w:r>
        <w:t xml:space="preserve">These two functions are generally combined, as in the following fragment</w:t>
      </w:r>
      <w:r>
        <w:t xml:space="preserve"> </w:t>
      </w:r>
      <w:r>
        <w:t xml:space="preserve">of script.</w:t>
      </w:r>
    </w:p>
    <w:p>
      <w:pPr>
        <w:pStyle w:val="SourceCode"/>
      </w:pPr>
      <w:r>
        <w:rPr>
          <w:rStyle w:val="VerbatimChar"/>
        </w:rPr>
        <w:t xml:space="preserve">      setrandvar_buildsample(srvx,name,np)</w:t>
      </w:r>
      <w:r>
        <w:br w:type="textWrapping"/>
      </w:r>
      <w:r>
        <w:rPr>
          <w:rStyle w:val="VerbatimChar"/>
        </w:rPr>
        <w:t xml:space="preserve">      [...]</w:t>
      </w:r>
      <w:r>
        <w:br w:type="textWrapping"/>
      </w:r>
      <w:r>
        <w:rPr>
          <w:rStyle w:val="VerbatimChar"/>
        </w:rPr>
        <w:t xml:space="preserve">      polychaos_computeexp(pc,srvx,method)</w:t>
      </w:r>
      <w:r>
        <w:br w:type="textWrapping"/>
      </w:r>
      <w:r>
        <w:rPr>
          <w:rStyle w:val="VerbatimChar"/>
        </w:rPr>
        <w:t xml:space="preserve">    </w:t>
      </w:r>
    </w:p>
    <w:p>
      <w:pPr>
        <w:pStyle w:val="FirstParagraph"/>
      </w:pPr>
      <w:r>
        <w:t xml:space="preserve">The next table presents the available combinations.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Sample name</w:t>
            </w:r>
          </w:p>
        </w:tc>
        <w:tc>
          <w:p>
            <w:pPr>
              <w:pStyle w:val="Compact"/>
              <w:jc w:val="left"/>
            </w:pPr>
            <w:r>
              <w:t xml:space="preserve">"Regression"</w:t>
            </w:r>
          </w:p>
        </w:tc>
        <w:tc>
          <w:p>
            <w:pPr>
              <w:pStyle w:val="Compact"/>
              <w:jc w:val="left"/>
            </w:pPr>
            <w:r>
              <w:t xml:space="preserve">"Integration"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"MonteCarlo"</w:t>
            </w:r>
          </w:p>
        </w:tc>
        <w:tc>
          <w:p>
            <w:pPr>
              <w:pStyle w:val="Compact"/>
              <w:jc w:val="left"/>
            </w:pPr>
            <w:r>
              <w:t xml:space="preserve">OK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"Lhs"</w:t>
            </w:r>
          </w:p>
        </w:tc>
        <w:tc>
          <w:p>
            <w:pPr>
              <w:pStyle w:val="Compact"/>
              <w:jc w:val="left"/>
            </w:pPr>
            <w:r>
              <w:t xml:space="preserve">OK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"QmcSobol"</w:t>
            </w:r>
          </w:p>
        </w:tc>
        <w:tc>
          <w:p>
            <w:pPr>
              <w:pStyle w:val="Compact"/>
              <w:jc w:val="left"/>
            </w:pPr>
            <w:r>
              <w:t xml:space="preserve">OK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"Quadrature"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OK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"Petras"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OK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"SmolyakGauss"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OK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"SmolyakFejer"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OK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"SmolyakTrapeze"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OK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"SmolyakClenshawCurtis"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OK</w:t>
            </w:r>
          </w:p>
        </w:tc>
      </w:tr>
    </w:tbl>
    <w:p>
      <w:pPr>
        <w:pStyle w:val="Compact"/>
      </w:pPr>
      <w:r>
        <w:t xml:space="preserve"> </w:t>
      </w:r>
      <w:hyperlink r:id="rId23">
        <w:r>
          <w:rPr>
            <w:rStyle w:val="Hyperlink"/>
          </w:rPr>
          <w:t xml:space="preserve">Sampling Tutorial &gt;&gt;</w:t>
        </w:r>
      </w:hyperlink>
      <w:r>
        <w:t xml:space="preserve"> </w:t>
      </w:r>
      <w:r>
        <w:t xml:space="preserve"> </w:t>
      </w:r>
      <w:r>
        <w:t xml:space="preserve"> </w:t>
      </w:r>
      <w:hyperlink r:id="rId21">
        <w:r>
          <w:rPr>
            <w:rStyle w:val="Hyperlink"/>
          </w:rPr>
          <w:t xml:space="preserve">&lt;&lt; Tutorials</w:t>
        </w:r>
      </w:hyperlink>
      <w:r>
        <w:t xml:space="preserve"> </w:t>
      </w:r>
    </w:p>
    <w:p>
      <w:r>
        <w:pict>
          <v:rect style="width:0;height:1.5pt" o:hralign="center" o:hrstd="t" o:hr="t"/>
        </w:pict>
      </w:r>
    </w:p>
    <w:bookmarkStart w:id="40" w:name="footnav"/>
    <w:p>
      <w:pPr>
        <w:pStyle w:val="Compact"/>
      </w:pPr>
      <w:r>
        <w:t xml:space="preserve">scilab-5.5.2</w:t>
      </w:r>
    </w:p>
    <w:bookmarkEnd w:id="40"/>
    <w:bookmarkStart w:id="45" w:name="pagefooter"/>
    <w:bookmarkStart w:id="43" w:name="pagefooterleft"/>
    <w:p>
      <w:pPr>
        <w:pStyle w:val="Compact"/>
      </w:pPr>
      <w:hyperlink r:id="rId41">
        <w:r>
          <w:rPr>
            <w:rStyle w:val="Hyperlink"/>
          </w:rPr>
          <w:t xml:space="preserve">Scilab Enterprises</w:t>
        </w:r>
      </w:hyperlink>
      <w:r>
        <w:br w:type="textWrapping"/>
      </w:r>
      <w:r>
        <w:t xml:space="preserve">Copyright (c) 2011-2014 (Scilab Enterprises)</w:t>
      </w:r>
      <w:r>
        <w:br w:type="textWrapping"/>
      </w:r>
      <w:r>
        <w:t xml:space="preserve">Copyright (c) 1989-2012 (INRIA)</w:t>
      </w:r>
      <w:r>
        <w:br w:type="textWrapping"/>
      </w:r>
      <w:r>
        <w:t xml:space="preserve">Copyright (c) 1989-2007 (ENPC)</w:t>
      </w:r>
      <w:r>
        <w:br w:type="textWrapping"/>
      </w:r>
      <w:r>
        <w:t xml:space="preserve">with</w:t>
      </w:r>
      <w:r>
        <w:t xml:space="preserve"> </w:t>
      </w:r>
      <w:hyperlink r:id="rId42">
        <w:r>
          <w:rPr>
            <w:rStyle w:val="Hyperlink"/>
          </w:rPr>
          <w:t xml:space="preserve">contributors</w:t>
        </w:r>
      </w:hyperlink>
    </w:p>
    <w:bookmarkEnd w:id="43"/>
    <w:bookmarkStart w:id="44" w:name="pagefooterright"/>
    <w:p>
      <w:pPr>
        <w:pStyle w:val="Compact"/>
      </w:pPr>
      <w:r>
        <w:t xml:space="preserve">Last updated:</w:t>
      </w:r>
      <w:r>
        <w:br w:type="textWrapping"/>
      </w:r>
      <w:r>
        <w:t xml:space="preserve">Tue Jan 01 15:54:19 CET 2019</w:t>
      </w:r>
      <w:r>
        <w:br w:type="textWrapping"/>
      </w:r>
      <w:r>
        <w:br w:type="textWrapping"/>
      </w:r>
      <w:r>
        <w:br w:type="textWrapping"/>
      </w:r>
    </w:p>
    <w:bookmarkEnd w:id="44"/>
    <w:bookmarkEnd w:id="4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6" Target="media/rId26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39" Target="media/rId39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hyperlink" Id="rId41" Target="http://www.scilab.org/" TargetMode="External" /><Relationship Type="http://schemas.openxmlformats.org/officeDocument/2006/relationships/hyperlink" Id="rId42" Target="https://www.scilab.org/development/contribute/contributors" TargetMode="External" /><Relationship Type="http://schemas.openxmlformats.org/officeDocument/2006/relationships/hyperlink" Id="rId20" Target="index.html" TargetMode="External" /><Relationship Type="http://schemas.openxmlformats.org/officeDocument/2006/relationships/hyperlink" Id="rId22" Target="nisp_theory.html" TargetMode="External" /><Relationship Type="http://schemas.openxmlformats.org/officeDocument/2006/relationships/hyperlink" Id="rId21" Target="section_92e5b1d134f462b45362dd31534e5eb9.html" TargetMode="External" /><Relationship Type="http://schemas.openxmlformats.org/officeDocument/2006/relationships/hyperlink" Id="rId23" Target="setrandvar_tutorial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1" Target="http://www.scilab.org/" TargetMode="External" /><Relationship Type="http://schemas.openxmlformats.org/officeDocument/2006/relationships/hyperlink" Id="rId42" Target="https://www.scilab.org/development/contribute/contributors" TargetMode="External" /><Relationship Type="http://schemas.openxmlformats.org/officeDocument/2006/relationships/hyperlink" Id="rId20" Target="index.html" TargetMode="External" /><Relationship Type="http://schemas.openxmlformats.org/officeDocument/2006/relationships/hyperlink" Id="rId22" Target="nisp_theory.html" TargetMode="External" /><Relationship Type="http://schemas.openxmlformats.org/officeDocument/2006/relationships/hyperlink" Id="rId21" Target="section_92e5b1d134f462b45362dd31534e5eb9.html" TargetMode="External" /><Relationship Type="http://schemas.openxmlformats.org/officeDocument/2006/relationships/hyperlink" Id="rId23" Target="setrandvar_tutorial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2019-01-01T15:02:03Z</dcterms:created>
  <dcterms:modified xsi:type="dcterms:W3CDTF">2019-01-01T15:02:03Z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